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49" w:rsidRDefault="005B3D49" w:rsidP="0054750E">
      <w:pPr>
        <w:spacing w:after="0"/>
        <w:rPr>
          <w:b/>
          <w:sz w:val="18"/>
          <w:szCs w:val="1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516"/>
      </w:tblGrid>
      <w:tr w:rsidR="005B3D49" w:rsidTr="005B3D49">
        <w:trPr>
          <w:trHeight w:val="1730"/>
        </w:trPr>
        <w:tc>
          <w:tcPr>
            <w:tcW w:w="7338" w:type="dxa"/>
          </w:tcPr>
          <w:p w:rsidR="005B3D49" w:rsidRDefault="005B3D49" w:rsidP="005B3D49">
            <w:pPr>
              <w:rPr>
                <w:b/>
                <w:sz w:val="20"/>
                <w:szCs w:val="20"/>
              </w:rPr>
            </w:pPr>
          </w:p>
          <w:p w:rsidR="005B3D49" w:rsidRDefault="005B3D49" w:rsidP="005B3D49">
            <w:pPr>
              <w:rPr>
                <w:b/>
                <w:sz w:val="20"/>
                <w:szCs w:val="20"/>
              </w:rPr>
            </w:pPr>
          </w:p>
          <w:p w:rsidR="005B3D49" w:rsidRPr="005B3D49" w:rsidRDefault="005B3D49" w:rsidP="005B3D49">
            <w:pPr>
              <w:rPr>
                <w:b/>
                <w:sz w:val="20"/>
                <w:szCs w:val="20"/>
              </w:rPr>
            </w:pPr>
            <w:r w:rsidRPr="005B3D49">
              <w:rPr>
                <w:b/>
                <w:sz w:val="20"/>
                <w:szCs w:val="20"/>
              </w:rPr>
              <w:t xml:space="preserve">Товарищество с ограниченной ответственностью «Торговый дом «БМ-Продукт» </w:t>
            </w:r>
          </w:p>
          <w:p w:rsidR="005B3D49" w:rsidRPr="005B3D49" w:rsidRDefault="005B3D49" w:rsidP="005B3D49">
            <w:pPr>
              <w:rPr>
                <w:sz w:val="20"/>
                <w:szCs w:val="20"/>
              </w:rPr>
            </w:pPr>
            <w:r w:rsidRPr="005B3D49">
              <w:rPr>
                <w:sz w:val="20"/>
                <w:szCs w:val="20"/>
              </w:rPr>
              <w:t>БИН: 150640020957 /</w:t>
            </w:r>
            <w:r w:rsidRPr="005B3D49">
              <w:rPr>
                <w:sz w:val="20"/>
                <w:szCs w:val="20"/>
                <w:lang w:bidi="ru-RU"/>
              </w:rPr>
              <w:t xml:space="preserve"> ИИК: </w:t>
            </w:r>
            <w:r w:rsidRPr="005B3D49">
              <w:rPr>
                <w:sz w:val="20"/>
                <w:szCs w:val="20"/>
                <w:lang w:val="en-US"/>
              </w:rPr>
              <w:t>KZ</w:t>
            </w:r>
            <w:r w:rsidRPr="005B3D49">
              <w:rPr>
                <w:sz w:val="20"/>
                <w:szCs w:val="20"/>
              </w:rPr>
              <w:t>179470398990280779 в филиал</w:t>
            </w:r>
            <w:r w:rsidR="009567F3">
              <w:rPr>
                <w:sz w:val="20"/>
                <w:szCs w:val="20"/>
              </w:rPr>
              <w:t>е</w:t>
            </w:r>
            <w:r w:rsidRPr="005B3D49">
              <w:rPr>
                <w:sz w:val="20"/>
                <w:szCs w:val="20"/>
              </w:rPr>
              <w:t xml:space="preserve"> ДБ АО Альфа-Банк</w:t>
            </w:r>
          </w:p>
          <w:p w:rsidR="005B3D49" w:rsidRPr="005B3D49" w:rsidRDefault="009567F3" w:rsidP="0054750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 xml:space="preserve">РК, </w:t>
            </w:r>
            <w:r w:rsidRPr="009567F3">
              <w:rPr>
                <w:sz w:val="20"/>
                <w:szCs w:val="20"/>
                <w:lang w:bidi="ru-RU"/>
              </w:rPr>
              <w:t>Западно-Казахстанская область, г.Уральск, ул. Ескалиева, д.102</w:t>
            </w:r>
          </w:p>
        </w:tc>
        <w:tc>
          <w:tcPr>
            <w:tcW w:w="2516" w:type="dxa"/>
          </w:tcPr>
          <w:p w:rsidR="005B3D49" w:rsidRDefault="005B3D49" w:rsidP="0054750E">
            <w:pPr>
              <w:rPr>
                <w:b/>
                <w:sz w:val="18"/>
                <w:szCs w:val="18"/>
              </w:rPr>
            </w:pPr>
            <w:r w:rsidRPr="0054750E"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45BC37EF" wp14:editId="60BA992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144145</wp:posOffset>
                  </wp:positionV>
                  <wp:extent cx="1623060" cy="837565"/>
                  <wp:effectExtent l="0" t="0" r="0" b="635"/>
                  <wp:wrapSquare wrapText="bothSides"/>
                  <wp:docPr id="1" name="Рисунок 1" descr="C:\Users\User\Desktop\Прочее БМ\Лого — копияна комп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рочее БМ\Лого — копияна комп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B3D49" w:rsidRDefault="005B3D49" w:rsidP="0054750E">
      <w:pPr>
        <w:spacing w:after="0"/>
        <w:rPr>
          <w:b/>
          <w:sz w:val="18"/>
          <w:szCs w:val="18"/>
        </w:rPr>
      </w:pPr>
    </w:p>
    <w:p w:rsidR="0054750E" w:rsidRPr="00B57264" w:rsidRDefault="00B57264" w:rsidP="00B57264">
      <w:pPr>
        <w:pStyle w:val="a6"/>
        <w:ind w:firstLine="708"/>
        <w:jc w:val="center"/>
        <w:rPr>
          <w:b/>
          <w:sz w:val="28"/>
          <w:szCs w:val="28"/>
        </w:rPr>
      </w:pPr>
      <w:r w:rsidRPr="00B57264">
        <w:rPr>
          <w:b/>
          <w:sz w:val="28"/>
          <w:szCs w:val="28"/>
        </w:rPr>
        <w:t>Аннотация</w:t>
      </w:r>
    </w:p>
    <w:p w:rsidR="00864200" w:rsidRPr="00B57264" w:rsidRDefault="00864200" w:rsidP="00B57264">
      <w:pPr>
        <w:pStyle w:val="a6"/>
        <w:ind w:firstLine="708"/>
        <w:jc w:val="center"/>
        <w:rPr>
          <w:b/>
          <w:sz w:val="28"/>
          <w:szCs w:val="28"/>
        </w:rPr>
      </w:pPr>
    </w:p>
    <w:p w:rsidR="0054750E" w:rsidRDefault="0054750E" w:rsidP="0054750E">
      <w:pPr>
        <w:pStyle w:val="a6"/>
        <w:ind w:firstLine="708"/>
        <w:jc w:val="both"/>
      </w:pPr>
      <w:r>
        <w:t>ТОО «Торговый дом «БМ</w:t>
      </w:r>
      <w:r w:rsidR="00120AA2" w:rsidRPr="001C2870">
        <w:t>-Продукт» является торговый домом ТОО «БМ», с эксклюзивным правом</w:t>
      </w:r>
      <w:r w:rsidR="00EE5109" w:rsidRPr="001C2870">
        <w:t>,</w:t>
      </w:r>
      <w:r w:rsidR="00120AA2" w:rsidRPr="001C2870">
        <w:t xml:space="preserve"> на продажу </w:t>
      </w:r>
      <w:r w:rsidR="0028247E" w:rsidRPr="001C2870">
        <w:t xml:space="preserve">антидетонатора марки «Альфа </w:t>
      </w:r>
      <w:r w:rsidRPr="001C2870">
        <w:t>Люкс» в</w:t>
      </w:r>
      <w:r w:rsidR="006A09C0" w:rsidRPr="001C2870">
        <w:t xml:space="preserve"> странах таможенного союза и за </w:t>
      </w:r>
      <w:r w:rsidR="006A77DF" w:rsidRPr="001C2870">
        <w:t xml:space="preserve">пределами </w:t>
      </w:r>
      <w:r w:rsidRPr="001C2870">
        <w:t>ЕАЭС, единолично</w:t>
      </w:r>
      <w:r w:rsidR="006A77DF" w:rsidRPr="001C2870">
        <w:t xml:space="preserve"> в течение срока действия настоящего договора №15-Р</w:t>
      </w:r>
      <w:r w:rsidR="00EE5109" w:rsidRPr="001C2870">
        <w:t xml:space="preserve"> от 01.02</w:t>
      </w:r>
      <w:r w:rsidR="006A77DF" w:rsidRPr="001C2870">
        <w:t>.2016 г.</w:t>
      </w:r>
    </w:p>
    <w:p w:rsidR="003D2679" w:rsidRPr="00141F07" w:rsidRDefault="00E30305" w:rsidP="0054750E">
      <w:pPr>
        <w:pStyle w:val="a6"/>
        <w:ind w:firstLine="708"/>
        <w:jc w:val="both"/>
      </w:pPr>
      <w:r w:rsidRPr="001C2870">
        <w:t xml:space="preserve">В связи с истощением мировых запасов нефти и увеличением количества автомобильного транспорта всё острее ставится вопрос о применении альтернативных видов моторного топлива. </w:t>
      </w:r>
      <w:r w:rsidR="005B3D49">
        <w:t>ТОО</w:t>
      </w:r>
      <w:r w:rsidRPr="001C2870">
        <w:t xml:space="preserve"> «БМ» производит уникальную </w:t>
      </w:r>
      <w:r w:rsidR="00E55683" w:rsidRPr="001C2870">
        <w:t xml:space="preserve">антидетонационную высокооктановую присадку, </w:t>
      </w:r>
      <w:r w:rsidR="00EE5109" w:rsidRPr="001C2870">
        <w:t>марки «Альфа Люкс» (</w:t>
      </w:r>
      <w:proofErr w:type="gramStart"/>
      <w:r w:rsidR="00EE5109" w:rsidRPr="001C2870">
        <w:t>СТ</w:t>
      </w:r>
      <w:proofErr w:type="gramEnd"/>
      <w:r w:rsidR="00EE5109" w:rsidRPr="001C2870">
        <w:t xml:space="preserve"> ТОО 910740000014-02-2015)</w:t>
      </w:r>
      <w:r w:rsidR="0054750E">
        <w:t xml:space="preserve"> –</w:t>
      </w:r>
      <w:r w:rsidR="00EE5109" w:rsidRPr="001C2870">
        <w:t xml:space="preserve"> это присадка на основе кислородосодержащих масел и высокооктановых </w:t>
      </w:r>
      <w:r w:rsidR="003D2679" w:rsidRPr="001C2870">
        <w:t xml:space="preserve">компонентов. </w:t>
      </w:r>
      <w:r w:rsidR="00E55683" w:rsidRPr="001C2870">
        <w:t>Присадка предназначена для поставки потребителям с целью улучшения качества моторных топлив, а также для процессов компаундирования при производстве автомобильных бензи</w:t>
      </w:r>
      <w:r w:rsidR="00141F07">
        <w:t xml:space="preserve">нов, представляющей собой смесь </w:t>
      </w:r>
      <w:r w:rsidR="00E55683" w:rsidRPr="00141F07">
        <w:t xml:space="preserve">биоэтанола, сивушных масел, антиокислителей, антидетонаторов, ингибиторов коррозии. </w:t>
      </w:r>
      <w:r w:rsidR="003D2679" w:rsidRPr="00141F07">
        <w:t>С</w:t>
      </w:r>
      <w:r w:rsidRPr="00141F07">
        <w:t xml:space="preserve"> </w:t>
      </w:r>
      <w:r w:rsidR="00E55683" w:rsidRPr="00141F07">
        <w:t>добавление ее</w:t>
      </w:r>
      <w:r w:rsidRPr="00141F07">
        <w:t xml:space="preserve"> в бензин, мы получим альтернативный вид топлива «Бензанол»</w:t>
      </w:r>
      <w:r w:rsidR="0054750E" w:rsidRPr="00141F07">
        <w:t xml:space="preserve"> (ГОСТ </w:t>
      </w:r>
      <w:proofErr w:type="gramStart"/>
      <w:r w:rsidR="0054750E" w:rsidRPr="00141F07">
        <w:t>Р</w:t>
      </w:r>
      <w:proofErr w:type="gramEnd"/>
      <w:r w:rsidR="005B3D49" w:rsidRPr="00141F07">
        <w:t xml:space="preserve"> 52201-2004</w:t>
      </w:r>
      <w:r w:rsidR="0054750E" w:rsidRPr="00141F07">
        <w:t>)</w:t>
      </w:r>
      <w:r w:rsidRPr="00141F07">
        <w:t>.</w:t>
      </w:r>
      <w:r w:rsidR="003D2679" w:rsidRPr="00141F07">
        <w:t xml:space="preserve"> </w:t>
      </w:r>
      <w:r w:rsidRPr="00141F07">
        <w:t>Это новый сегмент топлива</w:t>
      </w:r>
      <w:r w:rsidR="00B82D96" w:rsidRPr="00141F07">
        <w:t xml:space="preserve"> на отечественном</w:t>
      </w:r>
      <w:r w:rsidRPr="00141F07">
        <w:t xml:space="preserve"> рынке, отвечающим </w:t>
      </w:r>
      <w:r w:rsidR="00BC6FE0" w:rsidRPr="00141F07">
        <w:t xml:space="preserve">всем </w:t>
      </w:r>
      <w:r w:rsidRPr="00141F07">
        <w:t>стандартам «Евро-5»</w:t>
      </w:r>
      <w:r w:rsidR="00141F07" w:rsidRPr="00141F07">
        <w:t>, я</w:t>
      </w:r>
      <w:r w:rsidR="00D4507B" w:rsidRPr="00141F07">
        <w:t>вляясь также не подакцизным товаром,</w:t>
      </w:r>
      <w:r w:rsidR="0054750E" w:rsidRPr="00141F07">
        <w:t xml:space="preserve"> </w:t>
      </w:r>
      <w:r w:rsidR="00D4507B" w:rsidRPr="00141F07">
        <w:t>п</w:t>
      </w:r>
      <w:r w:rsidR="00B82D96" w:rsidRPr="00141F07">
        <w:t>реимущество «Бензанола» перед</w:t>
      </w:r>
      <w:r w:rsidR="000D0E05" w:rsidRPr="00141F07">
        <w:t xml:space="preserve"> другими топливам</w:t>
      </w:r>
      <w:r w:rsidR="003D2679" w:rsidRPr="00141F07">
        <w:t>и очевиден во всех показателях</w:t>
      </w:r>
      <w:r w:rsidR="00CC57CD">
        <w:t>.</w:t>
      </w:r>
    </w:p>
    <w:p w:rsidR="00141F07" w:rsidRDefault="003D2679" w:rsidP="00141F07">
      <w:pPr>
        <w:pStyle w:val="a6"/>
        <w:ind w:firstLine="708"/>
        <w:jc w:val="both"/>
      </w:pPr>
      <w:r w:rsidRPr="00141F07">
        <w:t xml:space="preserve">В </w:t>
      </w:r>
      <w:r w:rsidR="005B3D49" w:rsidRPr="00141F07">
        <w:t>смеси</w:t>
      </w:r>
      <w:r w:rsidRPr="00141F07">
        <w:t xml:space="preserve"> бензина и антидетонатора </w:t>
      </w:r>
      <w:r w:rsidR="00F700F2" w:rsidRPr="00141F07">
        <w:t xml:space="preserve">«Бензанола» </w:t>
      </w:r>
      <w:r w:rsidR="00CC57CD">
        <w:t>меньше серы, бензола в</w:t>
      </w:r>
      <w:r w:rsidRPr="0054750E">
        <w:t xml:space="preserve">редного для мотора. Соответственно, снижается количество продуктов сгорания, которые ведут к повышенному износу агрегата и окисляют масло. В общем, моторное масло, двигатель, свечи зажигания служат дольше. </w:t>
      </w:r>
      <w:r w:rsidR="00CC57CD">
        <w:t>Экономится</w:t>
      </w:r>
      <w:r w:rsidRPr="0054750E">
        <w:t xml:space="preserve"> средства и </w:t>
      </w:r>
      <w:r w:rsidR="00CC57CD">
        <w:t>увеличивается</w:t>
      </w:r>
      <w:r w:rsidRPr="0054750E">
        <w:t xml:space="preserve"> межремонтн</w:t>
      </w:r>
      <w:r w:rsidR="00CC57CD">
        <w:t>ый срок эксплуатации двигателя</w:t>
      </w:r>
      <w:r w:rsidRPr="0054750E">
        <w:t xml:space="preserve">. </w:t>
      </w:r>
      <w:r w:rsidR="00141F07">
        <w:t>В</w:t>
      </w:r>
      <w:r w:rsidRPr="0054750E">
        <w:t>ыхлоп становится более экологичным.</w:t>
      </w:r>
      <w:r w:rsidR="00141F07">
        <w:t xml:space="preserve"> </w:t>
      </w:r>
      <w:r w:rsidRPr="0054750E">
        <w:t>Антидетонатор сгорает эффективнее, имеет меньшую теплопроводность и высокое октановое число. Значит, двигатель работает стабильнее, снижается риск его перегрева, а камера сгорания, выпускные клапаны цилиндров и другие части ДВС работают в более благоприятных условиях.</w:t>
      </w:r>
      <w:r w:rsidR="00141F07">
        <w:t xml:space="preserve"> </w:t>
      </w:r>
      <w:r w:rsidRPr="0054750E">
        <w:t xml:space="preserve">Мотор не перегревается при сильной жаре или в городских пробках. Снижение температуры охлаждающей жидкости на выходе из двигателя </w:t>
      </w:r>
      <w:proofErr w:type="gramStart"/>
      <w:r w:rsidRPr="0054750E">
        <w:t>достигает 15-20 °С.</w:t>
      </w:r>
      <w:r w:rsidR="00141F07">
        <w:t xml:space="preserve"> </w:t>
      </w:r>
      <w:r w:rsidRPr="0054750E">
        <w:t xml:space="preserve">Октановое число </w:t>
      </w:r>
      <w:r w:rsidR="0054750E" w:rsidRPr="0054750E">
        <w:t>антидетонатора</w:t>
      </w:r>
      <w:r w:rsidR="00B855D5" w:rsidRPr="0054750E">
        <w:t xml:space="preserve"> может</w:t>
      </w:r>
      <w:proofErr w:type="gramEnd"/>
      <w:r w:rsidR="00B855D5" w:rsidRPr="0054750E">
        <w:t xml:space="preserve"> достигать 120</w:t>
      </w:r>
      <w:r w:rsidRPr="0054750E">
        <w:t xml:space="preserve"> единиц, что делает его пригодным для двигателей всех степеней сжатия топливной смеси, работающих на бензинах всех марок: 76, 80, 92, 95, 98. Профессионалы имеют возможность повысить степень сжатия до 11,5-12,5 единиц и получить повышение мощности двигателя, КПД, крутящий момент и экономичность.</w:t>
      </w:r>
    </w:p>
    <w:p w:rsidR="00141F07" w:rsidRDefault="00754D4D" w:rsidP="00141F07">
      <w:pPr>
        <w:pStyle w:val="a6"/>
        <w:ind w:firstLine="708"/>
        <w:jc w:val="both"/>
      </w:pPr>
      <w:r>
        <w:t>Применение антидетонатора</w:t>
      </w:r>
      <w:r w:rsidR="00B11ADE">
        <w:t>:</w:t>
      </w:r>
    </w:p>
    <w:tbl>
      <w:tblPr>
        <w:tblStyle w:val="aa"/>
        <w:tblW w:w="92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00"/>
        <w:gridCol w:w="1654"/>
        <w:gridCol w:w="1726"/>
        <w:gridCol w:w="1501"/>
        <w:gridCol w:w="1159"/>
        <w:gridCol w:w="1083"/>
      </w:tblGrid>
      <w:tr w:rsidR="00141F07" w:rsidTr="001C352E">
        <w:tc>
          <w:tcPr>
            <w:tcW w:w="3754" w:type="dxa"/>
            <w:gridSpan w:val="2"/>
          </w:tcPr>
          <w:p w:rsidR="00141F07" w:rsidRPr="009A4EEB" w:rsidRDefault="00141F07" w:rsidP="00754D4D">
            <w:pPr>
              <w:pStyle w:val="a6"/>
              <w:jc w:val="center"/>
              <w:rPr>
                <w:b/>
              </w:rPr>
            </w:pPr>
            <w:r w:rsidRPr="009A4EEB">
              <w:rPr>
                <w:b/>
              </w:rPr>
              <w:t>Бензин</w:t>
            </w:r>
            <w:r w:rsidR="001C352E">
              <w:rPr>
                <w:b/>
              </w:rPr>
              <w:t>, литр</w:t>
            </w:r>
          </w:p>
        </w:tc>
        <w:tc>
          <w:tcPr>
            <w:tcW w:w="3227" w:type="dxa"/>
            <w:gridSpan w:val="2"/>
          </w:tcPr>
          <w:p w:rsidR="00141F07" w:rsidRPr="009A4EEB" w:rsidRDefault="00141F07" w:rsidP="001C352E">
            <w:pPr>
              <w:pStyle w:val="a6"/>
              <w:jc w:val="center"/>
              <w:rPr>
                <w:b/>
              </w:rPr>
            </w:pPr>
            <w:r w:rsidRPr="009A4EEB">
              <w:rPr>
                <w:b/>
              </w:rPr>
              <w:t>Антидетонатор</w:t>
            </w:r>
            <w:r w:rsidR="001C352E">
              <w:rPr>
                <w:b/>
              </w:rPr>
              <w:t>, литр</w:t>
            </w:r>
          </w:p>
        </w:tc>
        <w:tc>
          <w:tcPr>
            <w:tcW w:w="2242" w:type="dxa"/>
            <w:gridSpan w:val="2"/>
          </w:tcPr>
          <w:p w:rsidR="00141F07" w:rsidRPr="009A4EEB" w:rsidRDefault="00141F07" w:rsidP="00323D42">
            <w:pPr>
              <w:pStyle w:val="a6"/>
              <w:jc w:val="center"/>
              <w:rPr>
                <w:b/>
              </w:rPr>
            </w:pPr>
            <w:r w:rsidRPr="009A4EEB">
              <w:rPr>
                <w:b/>
              </w:rPr>
              <w:t>Бензанол</w:t>
            </w:r>
            <w:r w:rsidR="00323D42">
              <w:rPr>
                <w:b/>
              </w:rPr>
              <w:t xml:space="preserve"> (БИ) или Бензин (АИ)</w:t>
            </w:r>
            <w:r w:rsidR="001C352E">
              <w:rPr>
                <w:b/>
              </w:rPr>
              <w:t>, литр</w:t>
            </w:r>
          </w:p>
        </w:tc>
      </w:tr>
      <w:tr w:rsidR="00323D42" w:rsidTr="001C352E">
        <w:tc>
          <w:tcPr>
            <w:tcW w:w="2100" w:type="dxa"/>
          </w:tcPr>
          <w:p w:rsidR="00323D42" w:rsidRDefault="00323D42" w:rsidP="00323D42">
            <w:pPr>
              <w:pStyle w:val="a6"/>
              <w:jc w:val="both"/>
            </w:pPr>
            <w:r>
              <w:t xml:space="preserve">АИ-80: </w:t>
            </w:r>
          </w:p>
        </w:tc>
        <w:tc>
          <w:tcPr>
            <w:tcW w:w="1654" w:type="dxa"/>
          </w:tcPr>
          <w:p w:rsidR="00323D42" w:rsidRDefault="00323D42" w:rsidP="001C352E">
            <w:pPr>
              <w:pStyle w:val="a6"/>
              <w:jc w:val="right"/>
            </w:pPr>
            <w:r>
              <w:t>19</w:t>
            </w:r>
            <w:r w:rsidR="001C352E">
              <w:t>,0</w:t>
            </w:r>
          </w:p>
        </w:tc>
        <w:tc>
          <w:tcPr>
            <w:tcW w:w="1726" w:type="dxa"/>
          </w:tcPr>
          <w:p w:rsidR="00323D42" w:rsidRDefault="00323D42" w:rsidP="00323D42">
            <w:pPr>
              <w:pStyle w:val="a6"/>
              <w:jc w:val="right"/>
            </w:pPr>
            <w:r>
              <w:t xml:space="preserve">     5%: </w:t>
            </w:r>
          </w:p>
        </w:tc>
        <w:tc>
          <w:tcPr>
            <w:tcW w:w="1501" w:type="dxa"/>
          </w:tcPr>
          <w:p w:rsidR="00323D42" w:rsidRDefault="001C352E" w:rsidP="001C352E">
            <w:pPr>
              <w:pStyle w:val="a6"/>
              <w:jc w:val="right"/>
            </w:pPr>
            <w:r>
              <w:t>1,0</w:t>
            </w:r>
          </w:p>
        </w:tc>
        <w:tc>
          <w:tcPr>
            <w:tcW w:w="1159" w:type="dxa"/>
          </w:tcPr>
          <w:p w:rsidR="00323D42" w:rsidRDefault="00323D42" w:rsidP="00323D42">
            <w:pPr>
              <w:pStyle w:val="a6"/>
              <w:jc w:val="both"/>
            </w:pPr>
            <w:r>
              <w:t xml:space="preserve">92: </w:t>
            </w:r>
          </w:p>
        </w:tc>
        <w:tc>
          <w:tcPr>
            <w:tcW w:w="1083" w:type="dxa"/>
          </w:tcPr>
          <w:p w:rsidR="00323D42" w:rsidRDefault="001C352E" w:rsidP="001C352E">
            <w:pPr>
              <w:pStyle w:val="a6"/>
              <w:jc w:val="right"/>
            </w:pPr>
            <w:r>
              <w:t>20,0</w:t>
            </w:r>
          </w:p>
        </w:tc>
      </w:tr>
      <w:tr w:rsidR="001C352E" w:rsidTr="001C352E">
        <w:tc>
          <w:tcPr>
            <w:tcW w:w="2100" w:type="dxa"/>
          </w:tcPr>
          <w:p w:rsidR="001C352E" w:rsidRDefault="001C352E" w:rsidP="001C352E">
            <w:pPr>
              <w:pStyle w:val="a6"/>
              <w:jc w:val="both"/>
            </w:pPr>
            <w:r>
              <w:t xml:space="preserve">АИ-80: </w:t>
            </w:r>
          </w:p>
        </w:tc>
        <w:tc>
          <w:tcPr>
            <w:tcW w:w="1654" w:type="dxa"/>
          </w:tcPr>
          <w:p w:rsidR="001C352E" w:rsidRDefault="001C352E" w:rsidP="001C352E">
            <w:pPr>
              <w:pStyle w:val="a6"/>
              <w:jc w:val="right"/>
            </w:pPr>
            <w:r>
              <w:t>18,0</w:t>
            </w:r>
          </w:p>
        </w:tc>
        <w:tc>
          <w:tcPr>
            <w:tcW w:w="1726" w:type="dxa"/>
          </w:tcPr>
          <w:p w:rsidR="001C352E" w:rsidRDefault="001C352E" w:rsidP="001C352E">
            <w:pPr>
              <w:pStyle w:val="a6"/>
              <w:jc w:val="right"/>
            </w:pPr>
            <w:r>
              <w:t xml:space="preserve">   10%: </w:t>
            </w:r>
          </w:p>
        </w:tc>
        <w:tc>
          <w:tcPr>
            <w:tcW w:w="1501" w:type="dxa"/>
          </w:tcPr>
          <w:p w:rsidR="001C352E" w:rsidRDefault="001C352E" w:rsidP="001C352E">
            <w:pPr>
              <w:pStyle w:val="a6"/>
              <w:jc w:val="right"/>
            </w:pPr>
            <w:r>
              <w:t>2,0</w:t>
            </w:r>
          </w:p>
        </w:tc>
        <w:tc>
          <w:tcPr>
            <w:tcW w:w="1159" w:type="dxa"/>
          </w:tcPr>
          <w:p w:rsidR="001C352E" w:rsidRDefault="001C352E" w:rsidP="001C352E">
            <w:pPr>
              <w:pStyle w:val="a6"/>
              <w:jc w:val="both"/>
            </w:pPr>
            <w:r>
              <w:t xml:space="preserve">95: </w:t>
            </w:r>
          </w:p>
        </w:tc>
        <w:tc>
          <w:tcPr>
            <w:tcW w:w="1083" w:type="dxa"/>
          </w:tcPr>
          <w:p w:rsidR="001C352E" w:rsidRDefault="001C352E" w:rsidP="001C352E">
            <w:pPr>
              <w:pStyle w:val="a6"/>
              <w:jc w:val="right"/>
            </w:pPr>
            <w:r>
              <w:t>20,0</w:t>
            </w:r>
          </w:p>
        </w:tc>
      </w:tr>
      <w:tr w:rsidR="001C352E" w:rsidTr="001C352E">
        <w:tc>
          <w:tcPr>
            <w:tcW w:w="2100" w:type="dxa"/>
          </w:tcPr>
          <w:p w:rsidR="001C352E" w:rsidRDefault="001C352E" w:rsidP="001C352E">
            <w:pPr>
              <w:pStyle w:val="a6"/>
              <w:jc w:val="both"/>
            </w:pPr>
            <w:r>
              <w:t xml:space="preserve">АИ-92: </w:t>
            </w:r>
          </w:p>
        </w:tc>
        <w:tc>
          <w:tcPr>
            <w:tcW w:w="1654" w:type="dxa"/>
          </w:tcPr>
          <w:p w:rsidR="001C352E" w:rsidRDefault="001C352E" w:rsidP="001C352E">
            <w:pPr>
              <w:pStyle w:val="a6"/>
              <w:jc w:val="right"/>
            </w:pPr>
            <w:r>
              <w:t>19,0</w:t>
            </w:r>
          </w:p>
        </w:tc>
        <w:tc>
          <w:tcPr>
            <w:tcW w:w="1726" w:type="dxa"/>
          </w:tcPr>
          <w:p w:rsidR="001C352E" w:rsidRDefault="001C352E" w:rsidP="001C352E">
            <w:pPr>
              <w:pStyle w:val="a6"/>
              <w:jc w:val="right"/>
            </w:pPr>
            <w:r>
              <w:t xml:space="preserve">     5%: </w:t>
            </w:r>
          </w:p>
        </w:tc>
        <w:tc>
          <w:tcPr>
            <w:tcW w:w="1501" w:type="dxa"/>
          </w:tcPr>
          <w:p w:rsidR="001C352E" w:rsidRDefault="001C352E" w:rsidP="001C352E">
            <w:pPr>
              <w:pStyle w:val="a6"/>
              <w:jc w:val="right"/>
            </w:pPr>
            <w:r>
              <w:t>1,0</w:t>
            </w:r>
          </w:p>
        </w:tc>
        <w:tc>
          <w:tcPr>
            <w:tcW w:w="1159" w:type="dxa"/>
          </w:tcPr>
          <w:p w:rsidR="001C352E" w:rsidRDefault="001C352E" w:rsidP="001C352E">
            <w:pPr>
              <w:pStyle w:val="a6"/>
              <w:jc w:val="both"/>
            </w:pPr>
            <w:r>
              <w:t xml:space="preserve">95: </w:t>
            </w:r>
          </w:p>
        </w:tc>
        <w:tc>
          <w:tcPr>
            <w:tcW w:w="1083" w:type="dxa"/>
          </w:tcPr>
          <w:p w:rsidR="001C352E" w:rsidRDefault="001C352E" w:rsidP="001C352E">
            <w:pPr>
              <w:pStyle w:val="a6"/>
              <w:jc w:val="right"/>
            </w:pPr>
            <w:r>
              <w:t>20,0</w:t>
            </w:r>
          </w:p>
        </w:tc>
      </w:tr>
      <w:tr w:rsidR="001C352E" w:rsidTr="001C352E">
        <w:tc>
          <w:tcPr>
            <w:tcW w:w="2100" w:type="dxa"/>
          </w:tcPr>
          <w:p w:rsidR="001C352E" w:rsidRDefault="001C352E" w:rsidP="001C352E">
            <w:pPr>
              <w:pStyle w:val="a6"/>
              <w:jc w:val="both"/>
            </w:pPr>
            <w:r>
              <w:t xml:space="preserve">АИ-92: </w:t>
            </w:r>
          </w:p>
        </w:tc>
        <w:tc>
          <w:tcPr>
            <w:tcW w:w="1654" w:type="dxa"/>
          </w:tcPr>
          <w:p w:rsidR="001C352E" w:rsidRDefault="001C352E" w:rsidP="001C352E">
            <w:pPr>
              <w:pStyle w:val="a6"/>
              <w:jc w:val="right"/>
            </w:pPr>
            <w:r>
              <w:t>18,0</w:t>
            </w:r>
          </w:p>
        </w:tc>
        <w:tc>
          <w:tcPr>
            <w:tcW w:w="1726" w:type="dxa"/>
          </w:tcPr>
          <w:p w:rsidR="001C352E" w:rsidRDefault="001C352E" w:rsidP="001C352E">
            <w:pPr>
              <w:pStyle w:val="a6"/>
              <w:jc w:val="right"/>
            </w:pPr>
            <w:r>
              <w:t xml:space="preserve">   10%: </w:t>
            </w:r>
          </w:p>
        </w:tc>
        <w:tc>
          <w:tcPr>
            <w:tcW w:w="1501" w:type="dxa"/>
          </w:tcPr>
          <w:p w:rsidR="001C352E" w:rsidRDefault="001C352E" w:rsidP="001C352E">
            <w:pPr>
              <w:pStyle w:val="a6"/>
              <w:jc w:val="right"/>
            </w:pPr>
            <w:r>
              <w:t>2,0</w:t>
            </w:r>
          </w:p>
        </w:tc>
        <w:tc>
          <w:tcPr>
            <w:tcW w:w="1159" w:type="dxa"/>
          </w:tcPr>
          <w:p w:rsidR="001C352E" w:rsidRDefault="001C352E" w:rsidP="001C352E">
            <w:pPr>
              <w:pStyle w:val="a6"/>
              <w:jc w:val="both"/>
            </w:pPr>
            <w:r>
              <w:t xml:space="preserve">98: </w:t>
            </w:r>
          </w:p>
        </w:tc>
        <w:tc>
          <w:tcPr>
            <w:tcW w:w="1083" w:type="dxa"/>
          </w:tcPr>
          <w:p w:rsidR="001C352E" w:rsidRDefault="001C352E" w:rsidP="001C352E">
            <w:pPr>
              <w:pStyle w:val="a6"/>
              <w:jc w:val="right"/>
            </w:pPr>
            <w:r>
              <w:t>20,0</w:t>
            </w:r>
          </w:p>
        </w:tc>
      </w:tr>
      <w:tr w:rsidR="001C352E" w:rsidTr="001C352E">
        <w:tc>
          <w:tcPr>
            <w:tcW w:w="2100" w:type="dxa"/>
          </w:tcPr>
          <w:p w:rsidR="001C352E" w:rsidRDefault="001C352E" w:rsidP="001C352E">
            <w:pPr>
              <w:pStyle w:val="a6"/>
              <w:jc w:val="both"/>
            </w:pPr>
            <w:r>
              <w:t xml:space="preserve">АИ-92: </w:t>
            </w:r>
          </w:p>
        </w:tc>
        <w:tc>
          <w:tcPr>
            <w:tcW w:w="1654" w:type="dxa"/>
          </w:tcPr>
          <w:p w:rsidR="001C352E" w:rsidRDefault="001C352E" w:rsidP="001C352E">
            <w:pPr>
              <w:pStyle w:val="a6"/>
              <w:jc w:val="right"/>
            </w:pPr>
            <w:r>
              <w:t>16,0</w:t>
            </w:r>
          </w:p>
        </w:tc>
        <w:tc>
          <w:tcPr>
            <w:tcW w:w="1726" w:type="dxa"/>
          </w:tcPr>
          <w:p w:rsidR="001C352E" w:rsidRDefault="001C352E" w:rsidP="001C352E">
            <w:pPr>
              <w:pStyle w:val="a6"/>
              <w:jc w:val="right"/>
            </w:pPr>
            <w:r>
              <w:t xml:space="preserve">   20%: </w:t>
            </w:r>
          </w:p>
        </w:tc>
        <w:tc>
          <w:tcPr>
            <w:tcW w:w="1501" w:type="dxa"/>
          </w:tcPr>
          <w:p w:rsidR="001C352E" w:rsidRDefault="001C352E" w:rsidP="001C352E">
            <w:pPr>
              <w:pStyle w:val="a6"/>
              <w:jc w:val="right"/>
            </w:pPr>
            <w:r>
              <w:t>4,0</w:t>
            </w:r>
          </w:p>
        </w:tc>
        <w:tc>
          <w:tcPr>
            <w:tcW w:w="1159" w:type="dxa"/>
          </w:tcPr>
          <w:p w:rsidR="001C352E" w:rsidRDefault="001C352E" w:rsidP="001C352E">
            <w:pPr>
              <w:pStyle w:val="a6"/>
              <w:jc w:val="both"/>
            </w:pPr>
            <w:r>
              <w:t xml:space="preserve">102: </w:t>
            </w:r>
          </w:p>
        </w:tc>
        <w:tc>
          <w:tcPr>
            <w:tcW w:w="1083" w:type="dxa"/>
          </w:tcPr>
          <w:p w:rsidR="001C352E" w:rsidRDefault="001C352E" w:rsidP="001C352E">
            <w:pPr>
              <w:pStyle w:val="a6"/>
              <w:jc w:val="right"/>
            </w:pPr>
            <w:r>
              <w:t>20,0</w:t>
            </w:r>
          </w:p>
        </w:tc>
      </w:tr>
      <w:tr w:rsidR="001C352E" w:rsidTr="001C352E">
        <w:tc>
          <w:tcPr>
            <w:tcW w:w="2100" w:type="dxa"/>
          </w:tcPr>
          <w:p w:rsidR="001C352E" w:rsidRDefault="001C352E" w:rsidP="001C352E">
            <w:pPr>
              <w:pStyle w:val="a6"/>
              <w:jc w:val="both"/>
            </w:pPr>
            <w:proofErr w:type="spellStart"/>
            <w:r>
              <w:t>Прямогон</w:t>
            </w:r>
            <w:proofErr w:type="spellEnd"/>
            <w:r>
              <w:t xml:space="preserve"> (</w:t>
            </w:r>
            <w:proofErr w:type="spellStart"/>
            <w:r>
              <w:t>нафта</w:t>
            </w:r>
            <w:proofErr w:type="spellEnd"/>
            <w:r>
              <w:t xml:space="preserve">)*: </w:t>
            </w:r>
          </w:p>
        </w:tc>
        <w:tc>
          <w:tcPr>
            <w:tcW w:w="1654" w:type="dxa"/>
          </w:tcPr>
          <w:p w:rsidR="001C352E" w:rsidRDefault="001C352E" w:rsidP="001C352E">
            <w:pPr>
              <w:pStyle w:val="a6"/>
              <w:jc w:val="right"/>
            </w:pPr>
            <w:r>
              <w:t>19,0</w:t>
            </w:r>
          </w:p>
        </w:tc>
        <w:tc>
          <w:tcPr>
            <w:tcW w:w="1726" w:type="dxa"/>
          </w:tcPr>
          <w:p w:rsidR="001C352E" w:rsidRDefault="001C352E" w:rsidP="001C352E">
            <w:pPr>
              <w:pStyle w:val="a6"/>
              <w:jc w:val="right"/>
            </w:pPr>
            <w:r>
              <w:t xml:space="preserve">     до 5%: </w:t>
            </w:r>
          </w:p>
        </w:tc>
        <w:tc>
          <w:tcPr>
            <w:tcW w:w="1501" w:type="dxa"/>
          </w:tcPr>
          <w:p w:rsidR="001C352E" w:rsidRDefault="001C352E" w:rsidP="001C352E">
            <w:pPr>
              <w:pStyle w:val="a6"/>
              <w:jc w:val="right"/>
            </w:pPr>
            <w:r>
              <w:t>1,0</w:t>
            </w:r>
          </w:p>
        </w:tc>
        <w:tc>
          <w:tcPr>
            <w:tcW w:w="1159" w:type="dxa"/>
          </w:tcPr>
          <w:p w:rsidR="001C352E" w:rsidRDefault="001C352E" w:rsidP="001C352E">
            <w:pPr>
              <w:pStyle w:val="a6"/>
              <w:jc w:val="both"/>
            </w:pPr>
            <w:r>
              <w:t>72/76</w:t>
            </w:r>
            <w:r w:rsidR="00B11ADE">
              <w:t>/80</w:t>
            </w:r>
            <w:r>
              <w:t xml:space="preserve">: </w:t>
            </w:r>
          </w:p>
        </w:tc>
        <w:tc>
          <w:tcPr>
            <w:tcW w:w="1083" w:type="dxa"/>
          </w:tcPr>
          <w:p w:rsidR="001C352E" w:rsidRDefault="001C352E" w:rsidP="001C352E">
            <w:pPr>
              <w:pStyle w:val="a6"/>
              <w:jc w:val="right"/>
            </w:pPr>
            <w:r>
              <w:t>20,0</w:t>
            </w:r>
          </w:p>
        </w:tc>
      </w:tr>
      <w:tr w:rsidR="001C352E" w:rsidTr="001C352E">
        <w:tc>
          <w:tcPr>
            <w:tcW w:w="2100" w:type="dxa"/>
          </w:tcPr>
          <w:p w:rsidR="001C352E" w:rsidRDefault="001C352E" w:rsidP="001C352E">
            <w:pPr>
              <w:pStyle w:val="a6"/>
              <w:jc w:val="both"/>
            </w:pPr>
            <w:proofErr w:type="spellStart"/>
            <w:r>
              <w:t>Прямогон</w:t>
            </w:r>
            <w:proofErr w:type="spellEnd"/>
            <w:r>
              <w:t xml:space="preserve"> (</w:t>
            </w:r>
            <w:proofErr w:type="spellStart"/>
            <w:r>
              <w:t>нафта</w:t>
            </w:r>
            <w:proofErr w:type="spellEnd"/>
            <w:r>
              <w:t xml:space="preserve">)*: </w:t>
            </w:r>
          </w:p>
        </w:tc>
        <w:tc>
          <w:tcPr>
            <w:tcW w:w="1654" w:type="dxa"/>
          </w:tcPr>
          <w:p w:rsidR="001C352E" w:rsidRDefault="001C352E" w:rsidP="001C352E">
            <w:pPr>
              <w:pStyle w:val="a6"/>
              <w:jc w:val="right"/>
            </w:pPr>
            <w:r>
              <w:t>от 19,0 до 18,0</w:t>
            </w:r>
          </w:p>
        </w:tc>
        <w:tc>
          <w:tcPr>
            <w:tcW w:w="1726" w:type="dxa"/>
          </w:tcPr>
          <w:p w:rsidR="001C352E" w:rsidRDefault="001C352E" w:rsidP="001C352E">
            <w:pPr>
              <w:pStyle w:val="a6"/>
              <w:jc w:val="right"/>
            </w:pPr>
            <w:r>
              <w:t xml:space="preserve">от 5% до 10% </w:t>
            </w:r>
          </w:p>
        </w:tc>
        <w:tc>
          <w:tcPr>
            <w:tcW w:w="1501" w:type="dxa"/>
          </w:tcPr>
          <w:p w:rsidR="001C352E" w:rsidRDefault="001C352E" w:rsidP="001C352E">
            <w:pPr>
              <w:pStyle w:val="a6"/>
              <w:jc w:val="right"/>
            </w:pPr>
            <w:r>
              <w:t>от 1,0 до 2,0</w:t>
            </w:r>
          </w:p>
        </w:tc>
        <w:tc>
          <w:tcPr>
            <w:tcW w:w="1159" w:type="dxa"/>
          </w:tcPr>
          <w:p w:rsidR="001C352E" w:rsidRDefault="001C352E" w:rsidP="001C352E">
            <w:pPr>
              <w:pStyle w:val="a6"/>
              <w:jc w:val="both"/>
            </w:pPr>
            <w:r>
              <w:t>76/80</w:t>
            </w:r>
            <w:r w:rsidR="00B11ADE">
              <w:t>/85</w:t>
            </w:r>
            <w:r>
              <w:t xml:space="preserve">: </w:t>
            </w:r>
          </w:p>
        </w:tc>
        <w:tc>
          <w:tcPr>
            <w:tcW w:w="1083" w:type="dxa"/>
          </w:tcPr>
          <w:p w:rsidR="001C352E" w:rsidRDefault="001C352E" w:rsidP="001C352E">
            <w:pPr>
              <w:pStyle w:val="a6"/>
              <w:jc w:val="right"/>
            </w:pPr>
            <w:r>
              <w:t>20,0</w:t>
            </w:r>
          </w:p>
        </w:tc>
      </w:tr>
      <w:tr w:rsidR="001C352E" w:rsidTr="001C352E">
        <w:tc>
          <w:tcPr>
            <w:tcW w:w="2100" w:type="dxa"/>
          </w:tcPr>
          <w:p w:rsidR="001C352E" w:rsidRDefault="001C352E" w:rsidP="001C352E">
            <w:pPr>
              <w:pStyle w:val="a6"/>
              <w:jc w:val="both"/>
            </w:pPr>
            <w:proofErr w:type="spellStart"/>
            <w:r>
              <w:t>Прямогон</w:t>
            </w:r>
            <w:proofErr w:type="spellEnd"/>
            <w:r>
              <w:t xml:space="preserve"> (</w:t>
            </w:r>
            <w:proofErr w:type="spellStart"/>
            <w:r>
              <w:t>нафта</w:t>
            </w:r>
            <w:proofErr w:type="spellEnd"/>
            <w:r>
              <w:t xml:space="preserve">)*: </w:t>
            </w:r>
          </w:p>
        </w:tc>
        <w:tc>
          <w:tcPr>
            <w:tcW w:w="1654" w:type="dxa"/>
          </w:tcPr>
          <w:p w:rsidR="001C352E" w:rsidRDefault="001C352E" w:rsidP="001C352E">
            <w:pPr>
              <w:pStyle w:val="a6"/>
              <w:jc w:val="right"/>
            </w:pPr>
            <w:r>
              <w:t>от 18,0 до 17,0</w:t>
            </w:r>
          </w:p>
        </w:tc>
        <w:tc>
          <w:tcPr>
            <w:tcW w:w="1726" w:type="dxa"/>
          </w:tcPr>
          <w:p w:rsidR="001C352E" w:rsidRDefault="001C352E" w:rsidP="001C352E">
            <w:pPr>
              <w:pStyle w:val="a6"/>
              <w:jc w:val="right"/>
            </w:pPr>
            <w:r>
              <w:t xml:space="preserve">от 10% до 15% </w:t>
            </w:r>
          </w:p>
        </w:tc>
        <w:tc>
          <w:tcPr>
            <w:tcW w:w="1501" w:type="dxa"/>
          </w:tcPr>
          <w:p w:rsidR="001C352E" w:rsidRDefault="001C352E" w:rsidP="001C352E">
            <w:pPr>
              <w:pStyle w:val="a6"/>
              <w:jc w:val="right"/>
            </w:pPr>
            <w:r>
              <w:t>от 2,0 до 3,0</w:t>
            </w:r>
          </w:p>
        </w:tc>
        <w:tc>
          <w:tcPr>
            <w:tcW w:w="1159" w:type="dxa"/>
          </w:tcPr>
          <w:p w:rsidR="001C352E" w:rsidRDefault="00B11ADE" w:rsidP="001C352E">
            <w:pPr>
              <w:pStyle w:val="a6"/>
              <w:jc w:val="both"/>
            </w:pPr>
            <w:r>
              <w:t>80/85/92</w:t>
            </w:r>
            <w:r w:rsidR="001C352E">
              <w:t xml:space="preserve">: </w:t>
            </w:r>
          </w:p>
        </w:tc>
        <w:tc>
          <w:tcPr>
            <w:tcW w:w="1083" w:type="dxa"/>
          </w:tcPr>
          <w:p w:rsidR="001C352E" w:rsidRDefault="001C352E" w:rsidP="001C352E">
            <w:pPr>
              <w:pStyle w:val="a6"/>
              <w:jc w:val="right"/>
            </w:pPr>
            <w:r>
              <w:t>20,0</w:t>
            </w:r>
          </w:p>
        </w:tc>
      </w:tr>
      <w:tr w:rsidR="001C352E" w:rsidTr="001C352E">
        <w:tc>
          <w:tcPr>
            <w:tcW w:w="2100" w:type="dxa"/>
          </w:tcPr>
          <w:p w:rsidR="001C352E" w:rsidRDefault="001C352E" w:rsidP="001C352E">
            <w:pPr>
              <w:pStyle w:val="a6"/>
              <w:jc w:val="both"/>
            </w:pPr>
            <w:proofErr w:type="spellStart"/>
            <w:r>
              <w:t>Прямогон</w:t>
            </w:r>
            <w:proofErr w:type="spellEnd"/>
            <w:r>
              <w:t xml:space="preserve"> (</w:t>
            </w:r>
            <w:proofErr w:type="spellStart"/>
            <w:r>
              <w:t>нафта</w:t>
            </w:r>
            <w:proofErr w:type="spellEnd"/>
            <w:r>
              <w:t xml:space="preserve">)*: </w:t>
            </w:r>
          </w:p>
        </w:tc>
        <w:tc>
          <w:tcPr>
            <w:tcW w:w="1654" w:type="dxa"/>
          </w:tcPr>
          <w:p w:rsidR="001C352E" w:rsidRDefault="001C352E" w:rsidP="00B11ADE">
            <w:pPr>
              <w:pStyle w:val="a6"/>
              <w:jc w:val="right"/>
            </w:pPr>
            <w:r>
              <w:t>от 1</w:t>
            </w:r>
            <w:r w:rsidR="00B11ADE">
              <w:t>7</w:t>
            </w:r>
            <w:r>
              <w:t>,0 до 1</w:t>
            </w:r>
            <w:r w:rsidR="00B11ADE">
              <w:t>6</w:t>
            </w:r>
            <w:r>
              <w:t>,0</w:t>
            </w:r>
          </w:p>
        </w:tc>
        <w:tc>
          <w:tcPr>
            <w:tcW w:w="1726" w:type="dxa"/>
          </w:tcPr>
          <w:p w:rsidR="001C352E" w:rsidRDefault="001C352E" w:rsidP="001C352E">
            <w:pPr>
              <w:pStyle w:val="a6"/>
              <w:jc w:val="right"/>
            </w:pPr>
            <w:r>
              <w:t xml:space="preserve">от 15% до 20% </w:t>
            </w:r>
          </w:p>
        </w:tc>
        <w:tc>
          <w:tcPr>
            <w:tcW w:w="1501" w:type="dxa"/>
          </w:tcPr>
          <w:p w:rsidR="001C352E" w:rsidRDefault="001C352E" w:rsidP="001C352E">
            <w:pPr>
              <w:pStyle w:val="a6"/>
              <w:jc w:val="right"/>
            </w:pPr>
            <w:r>
              <w:t>от 2,0 до 3,0</w:t>
            </w:r>
          </w:p>
        </w:tc>
        <w:tc>
          <w:tcPr>
            <w:tcW w:w="1159" w:type="dxa"/>
          </w:tcPr>
          <w:p w:rsidR="001C352E" w:rsidRDefault="001C352E" w:rsidP="001C352E">
            <w:pPr>
              <w:pStyle w:val="a6"/>
              <w:jc w:val="both"/>
            </w:pPr>
            <w:r>
              <w:t>85/92</w:t>
            </w:r>
            <w:r w:rsidR="00B11ADE">
              <w:t>/95</w:t>
            </w:r>
            <w:r>
              <w:t xml:space="preserve">: </w:t>
            </w:r>
          </w:p>
        </w:tc>
        <w:tc>
          <w:tcPr>
            <w:tcW w:w="1083" w:type="dxa"/>
          </w:tcPr>
          <w:p w:rsidR="001C352E" w:rsidRDefault="001C352E" w:rsidP="001C352E">
            <w:pPr>
              <w:pStyle w:val="a6"/>
              <w:jc w:val="right"/>
            </w:pPr>
            <w:r>
              <w:t>20,0</w:t>
            </w:r>
          </w:p>
        </w:tc>
      </w:tr>
    </w:tbl>
    <w:p w:rsidR="007F5F83" w:rsidRPr="00B11ADE" w:rsidRDefault="00B11ADE" w:rsidP="00B11ADE">
      <w:pPr>
        <w:spacing w:before="75" w:after="45" w:line="270" w:lineRule="atLeast"/>
        <w:ind w:right="225"/>
        <w:jc w:val="both"/>
        <w:textAlignment w:val="baseline"/>
      </w:pPr>
      <w:proofErr w:type="gramStart"/>
      <w:r w:rsidRPr="00B11ADE">
        <w:t>* в зависимости от углеводородного состава</w:t>
      </w:r>
      <w:r>
        <w:t xml:space="preserve"> в прямогонном бензине (</w:t>
      </w:r>
      <w:proofErr w:type="spellStart"/>
      <w:r>
        <w:t>нафте</w:t>
      </w:r>
      <w:proofErr w:type="spellEnd"/>
      <w:r>
        <w:t>) добавление антидетонатора в процентном отношение будет различной, т.е. с вышеуказанным в таблице разбегом.</w:t>
      </w:r>
      <w:proofErr w:type="gramEnd"/>
    </w:p>
    <w:p w:rsidR="00513047" w:rsidRPr="00141F07" w:rsidRDefault="00513047" w:rsidP="00CC57CD">
      <w:pPr>
        <w:pStyle w:val="a9"/>
        <w:spacing w:before="75" w:after="45" w:line="270" w:lineRule="atLeast"/>
        <w:ind w:left="0" w:right="225" w:firstLine="708"/>
        <w:textAlignment w:val="baseline"/>
      </w:pPr>
      <w:bookmarkStart w:id="0" w:name="_GoBack"/>
      <w:bookmarkEnd w:id="0"/>
    </w:p>
    <w:sectPr w:rsidR="00513047" w:rsidRPr="00141F07" w:rsidSect="005B3D4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CA" w:rsidRDefault="005E63CA" w:rsidP="00513047">
      <w:pPr>
        <w:spacing w:after="0" w:line="240" w:lineRule="auto"/>
      </w:pPr>
      <w:r>
        <w:separator/>
      </w:r>
    </w:p>
  </w:endnote>
  <w:endnote w:type="continuationSeparator" w:id="0">
    <w:p w:rsidR="005E63CA" w:rsidRDefault="005E63CA" w:rsidP="0051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CA" w:rsidRDefault="005E63CA" w:rsidP="00513047">
      <w:pPr>
        <w:spacing w:after="0" w:line="240" w:lineRule="auto"/>
      </w:pPr>
      <w:r>
        <w:separator/>
      </w:r>
    </w:p>
  </w:footnote>
  <w:footnote w:type="continuationSeparator" w:id="0">
    <w:p w:rsidR="005E63CA" w:rsidRDefault="005E63CA" w:rsidP="00513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692"/>
    <w:multiLevelType w:val="hybridMultilevel"/>
    <w:tmpl w:val="8DBA8D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EF744F"/>
    <w:multiLevelType w:val="hybridMultilevel"/>
    <w:tmpl w:val="D48C8EEE"/>
    <w:lvl w:ilvl="0" w:tplc="5C1C0DFC">
      <w:start w:val="2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3233C9A"/>
    <w:multiLevelType w:val="hybridMultilevel"/>
    <w:tmpl w:val="4F968ED8"/>
    <w:lvl w:ilvl="0" w:tplc="0BA88232">
      <w:start w:val="19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6F1090B"/>
    <w:multiLevelType w:val="multilevel"/>
    <w:tmpl w:val="2146E4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6643137"/>
    <w:multiLevelType w:val="hybridMultilevel"/>
    <w:tmpl w:val="AA10D65E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8C"/>
    <w:rsid w:val="00006B4E"/>
    <w:rsid w:val="00070176"/>
    <w:rsid w:val="000A0280"/>
    <w:rsid w:val="000D0E05"/>
    <w:rsid w:val="00100C16"/>
    <w:rsid w:val="00120AA2"/>
    <w:rsid w:val="001374D2"/>
    <w:rsid w:val="00141F07"/>
    <w:rsid w:val="00172B8C"/>
    <w:rsid w:val="00187F14"/>
    <w:rsid w:val="001C2870"/>
    <w:rsid w:val="001C352E"/>
    <w:rsid w:val="0028247E"/>
    <w:rsid w:val="00314F33"/>
    <w:rsid w:val="00323D42"/>
    <w:rsid w:val="003D2679"/>
    <w:rsid w:val="003F2ADB"/>
    <w:rsid w:val="003F561E"/>
    <w:rsid w:val="00404146"/>
    <w:rsid w:val="00497347"/>
    <w:rsid w:val="004F0AE6"/>
    <w:rsid w:val="004F1D84"/>
    <w:rsid w:val="00513047"/>
    <w:rsid w:val="0054750E"/>
    <w:rsid w:val="005B3D49"/>
    <w:rsid w:val="005E63CA"/>
    <w:rsid w:val="006A09C0"/>
    <w:rsid w:val="006A77DF"/>
    <w:rsid w:val="007222EC"/>
    <w:rsid w:val="00754D4D"/>
    <w:rsid w:val="007C3E68"/>
    <w:rsid w:val="007F5F83"/>
    <w:rsid w:val="00864200"/>
    <w:rsid w:val="009567F3"/>
    <w:rsid w:val="009A0AE4"/>
    <w:rsid w:val="009A0F0F"/>
    <w:rsid w:val="009A4EEB"/>
    <w:rsid w:val="009D5E29"/>
    <w:rsid w:val="009F454B"/>
    <w:rsid w:val="00A17FF6"/>
    <w:rsid w:val="00A5577B"/>
    <w:rsid w:val="00AB1CFB"/>
    <w:rsid w:val="00AB48C2"/>
    <w:rsid w:val="00B02418"/>
    <w:rsid w:val="00B11ADE"/>
    <w:rsid w:val="00B57264"/>
    <w:rsid w:val="00B82D96"/>
    <w:rsid w:val="00B855D5"/>
    <w:rsid w:val="00BC6FE0"/>
    <w:rsid w:val="00C32B0D"/>
    <w:rsid w:val="00C71FF4"/>
    <w:rsid w:val="00CC57CD"/>
    <w:rsid w:val="00CD0F97"/>
    <w:rsid w:val="00CD7163"/>
    <w:rsid w:val="00D1518B"/>
    <w:rsid w:val="00D4507B"/>
    <w:rsid w:val="00DB1D2B"/>
    <w:rsid w:val="00DE77EB"/>
    <w:rsid w:val="00E30305"/>
    <w:rsid w:val="00E55683"/>
    <w:rsid w:val="00EB1A76"/>
    <w:rsid w:val="00EE5109"/>
    <w:rsid w:val="00EF3944"/>
    <w:rsid w:val="00F700F2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1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518B"/>
    <w:rPr>
      <w:color w:val="0000FF" w:themeColor="hyperlink"/>
      <w:u w:val="single"/>
    </w:rPr>
  </w:style>
  <w:style w:type="paragraph" w:styleId="a6">
    <w:name w:val="No Spacing"/>
    <w:uiPriority w:val="1"/>
    <w:qFormat/>
    <w:rsid w:val="00120AA2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6A09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A09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0D0E05"/>
  </w:style>
  <w:style w:type="paragraph" w:styleId="a9">
    <w:name w:val="List Paragraph"/>
    <w:basedOn w:val="a"/>
    <w:uiPriority w:val="34"/>
    <w:qFormat/>
    <w:rsid w:val="003D2679"/>
    <w:pPr>
      <w:ind w:left="720"/>
      <w:contextualSpacing/>
    </w:pPr>
  </w:style>
  <w:style w:type="table" w:styleId="aa">
    <w:name w:val="Table Grid"/>
    <w:basedOn w:val="a1"/>
    <w:uiPriority w:val="59"/>
    <w:rsid w:val="0031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13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13047"/>
  </w:style>
  <w:style w:type="paragraph" w:styleId="ad">
    <w:name w:val="footer"/>
    <w:basedOn w:val="a"/>
    <w:link w:val="ae"/>
    <w:uiPriority w:val="99"/>
    <w:unhideWhenUsed/>
    <w:rsid w:val="00513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3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1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518B"/>
    <w:rPr>
      <w:color w:val="0000FF" w:themeColor="hyperlink"/>
      <w:u w:val="single"/>
    </w:rPr>
  </w:style>
  <w:style w:type="paragraph" w:styleId="a6">
    <w:name w:val="No Spacing"/>
    <w:uiPriority w:val="1"/>
    <w:qFormat/>
    <w:rsid w:val="00120AA2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6A09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A09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0D0E05"/>
  </w:style>
  <w:style w:type="paragraph" w:styleId="a9">
    <w:name w:val="List Paragraph"/>
    <w:basedOn w:val="a"/>
    <w:uiPriority w:val="34"/>
    <w:qFormat/>
    <w:rsid w:val="003D2679"/>
    <w:pPr>
      <w:ind w:left="720"/>
      <w:contextualSpacing/>
    </w:pPr>
  </w:style>
  <w:style w:type="table" w:styleId="aa">
    <w:name w:val="Table Grid"/>
    <w:basedOn w:val="a1"/>
    <w:uiPriority w:val="59"/>
    <w:rsid w:val="0031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13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13047"/>
  </w:style>
  <w:style w:type="paragraph" w:styleId="ad">
    <w:name w:val="footer"/>
    <w:basedOn w:val="a"/>
    <w:link w:val="ae"/>
    <w:uiPriority w:val="99"/>
    <w:unhideWhenUsed/>
    <w:rsid w:val="00513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8AEE5-0680-4A36-8B1B-4DA15FDD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2016-06-30T09:34:00Z</dcterms:created>
  <dcterms:modified xsi:type="dcterms:W3CDTF">2016-07-01T10:38:00Z</dcterms:modified>
</cp:coreProperties>
</file>